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A1CF" w14:textId="3E975561" w:rsidR="0001618F" w:rsidRPr="0023154C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</w:pPr>
      <w:r w:rsidRPr="0023154C">
        <w:rPr>
          <w:rFonts w:asciiTheme="majorHAnsi" w:hAnsiTheme="majorHAnsi" w:cstheme="majorHAnsi"/>
          <w:noProof/>
          <w:color w:val="1F3864" w:themeColor="accent1" w:themeShade="80"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 wp14:anchorId="4436123C" wp14:editId="7D6E9FC6">
            <wp:simplePos x="0" y="0"/>
            <wp:positionH relativeFrom="column">
              <wp:posOffset>332105</wp:posOffset>
            </wp:positionH>
            <wp:positionV relativeFrom="paragraph">
              <wp:posOffset>159385</wp:posOffset>
            </wp:positionV>
            <wp:extent cx="1116959" cy="1064765"/>
            <wp:effectExtent l="0" t="0" r="762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3.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59" cy="10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50AA" w14:textId="7474C430" w:rsidR="00467EC7" w:rsidRPr="0023154C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</w:pPr>
      <w:r w:rsidRPr="0023154C"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  <w:t xml:space="preserve">WARSZTATY PRACY PROJEKTANTA </w:t>
      </w:r>
      <w:r w:rsidRPr="0023154C"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  <w:br/>
        <w:t>I RZECZOZNAWCY INSTALACJI I SIECI SANITARNYCH</w:t>
      </w:r>
    </w:p>
    <w:p w14:paraId="44334B8C" w14:textId="77777777" w:rsidR="00467EC7" w:rsidRPr="0023154C" w:rsidRDefault="00467E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B088C05" w14:textId="77777777" w:rsidR="0001618F" w:rsidRPr="0023154C" w:rsidRDefault="0001618F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60B7BE63" w14:textId="5D69A74B" w:rsidR="0023154C" w:rsidRPr="0023154C" w:rsidRDefault="009F004F" w:rsidP="0023154C">
      <w:pPr>
        <w:shd w:val="clear" w:color="auto" w:fill="FFFD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44546A" w:themeColor="text2"/>
          <w:kern w:val="36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Warsztaty PZITS </w:t>
      </w:r>
      <w:r w:rsidRPr="009F004F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z udziałem przedstawicieli</w:t>
      </w:r>
      <w:r w:rsid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 REHVA - </w:t>
      </w:r>
      <w:proofErr w:type="spellStart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Federation</w:t>
      </w:r>
      <w:proofErr w:type="spellEnd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 of </w:t>
      </w:r>
      <w:proofErr w:type="spellStart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European</w:t>
      </w:r>
      <w:proofErr w:type="spellEnd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 Heating, </w:t>
      </w:r>
      <w:proofErr w:type="spellStart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Ventilation</w:t>
      </w:r>
      <w:proofErr w:type="spellEnd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 and </w:t>
      </w:r>
      <w:proofErr w:type="spellStart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Air</w:t>
      </w:r>
      <w:proofErr w:type="spellEnd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Conditioning</w:t>
      </w:r>
      <w:proofErr w:type="spellEnd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="00D85367" w:rsidRPr="00D85367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Associations</w:t>
      </w:r>
      <w:proofErr w:type="spellEnd"/>
    </w:p>
    <w:p w14:paraId="239060AB" w14:textId="279A2C2D" w:rsidR="0001618F" w:rsidRDefault="0001618F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75A7F33B" w14:textId="77777777" w:rsidR="00D85367" w:rsidRDefault="0023154C" w:rsidP="00EB4162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9F004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W Warszawie w dniach 3 – 4 października 2019 r. odbędą się </w:t>
      </w:r>
      <w:r w:rsidRPr="009F004F">
        <w:rPr>
          <w:rFonts w:asciiTheme="majorHAnsi" w:hAnsiTheme="majorHAnsi" w:cstheme="majorHAnsi"/>
          <w:b/>
          <w:bCs/>
          <w:i/>
          <w:color w:val="1F3864" w:themeColor="accent1" w:themeShade="80"/>
        </w:rPr>
        <w:t>Warsztaty pracy projektanta i rzeczoznawcy instalacji i sieci sanitarnych</w:t>
      </w:r>
      <w:r w:rsidRPr="009F004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, organizowane przez Zarząd Główny Polskiego Zrzeszenia </w:t>
      </w:r>
      <w:r w:rsidR="007A2871" w:rsidRPr="009F004F">
        <w:rPr>
          <w:rFonts w:asciiTheme="majorHAnsi" w:hAnsiTheme="majorHAnsi" w:cstheme="majorHAnsi"/>
          <w:b/>
          <w:bCs/>
          <w:color w:val="1F3864" w:themeColor="accent1" w:themeShade="80"/>
        </w:rPr>
        <w:t>Inżynierów</w:t>
      </w:r>
      <w:r w:rsidRPr="009F004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i Techników Sanitarnych.</w:t>
      </w:r>
    </w:p>
    <w:p w14:paraId="506F6C1B" w14:textId="39A5E267" w:rsidR="0001618F" w:rsidRDefault="00B573BA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B573BA">
        <w:rPr>
          <w:rFonts w:asciiTheme="majorHAnsi" w:hAnsiTheme="majorHAnsi" w:cstheme="majorHAnsi"/>
          <w:color w:val="FF0000"/>
        </w:rPr>
        <w:t>P</w:t>
      </w:r>
      <w:r w:rsidR="00B2001E" w:rsidRPr="00B573BA">
        <w:rPr>
          <w:rFonts w:asciiTheme="majorHAnsi" w:hAnsiTheme="majorHAnsi" w:cstheme="majorHAnsi"/>
          <w:color w:val="FF0000"/>
        </w:rPr>
        <w:t>odczas</w:t>
      </w:r>
      <w:r w:rsidR="00B2001E">
        <w:rPr>
          <w:rFonts w:asciiTheme="majorHAnsi" w:hAnsiTheme="majorHAnsi" w:cstheme="majorHAnsi"/>
          <w:color w:val="1F3864" w:themeColor="accent1" w:themeShade="80"/>
        </w:rPr>
        <w:t xml:space="preserve"> Warsztatów przedstawiane będą zagadnienia związane </w:t>
      </w:r>
      <w:r w:rsidR="00176F91">
        <w:rPr>
          <w:rFonts w:asciiTheme="majorHAnsi" w:hAnsiTheme="majorHAnsi" w:cstheme="majorHAnsi"/>
          <w:color w:val="1F3864" w:themeColor="accent1" w:themeShade="80"/>
        </w:rPr>
        <w:t>ze spojrzeniem na misję projektantów w dzisiejszych czasach, jak również konkretne zagadnienia techniczne.</w:t>
      </w:r>
    </w:p>
    <w:p w14:paraId="0EC0046B" w14:textId="77777777" w:rsidR="00653559" w:rsidRDefault="00176F91" w:rsidP="00176F91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Problematyka poruszana </w:t>
      </w:r>
      <w:r w:rsidRPr="00176F91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w pierwszej grupie tematów to m.in.</w:t>
      </w:r>
      <w:r w:rsidR="00653559">
        <w:rPr>
          <w:rFonts w:asciiTheme="majorHAnsi" w:hAnsiTheme="majorHAnsi" w:cstheme="majorHAnsi"/>
          <w:color w:val="1F3864" w:themeColor="accent1" w:themeShade="80"/>
        </w:rPr>
        <w:t>:</w:t>
      </w:r>
    </w:p>
    <w:p w14:paraId="1C46D819" w14:textId="41603DD7" w:rsidR="00176F91" w:rsidRDefault="00176F91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zmiana gospodarki linearnej na obiegi zamknięte, prawidłowe określanie obecnych priorytetów w branży a także  trendy w rozwoju instalacji</w:t>
      </w:r>
      <w:r w:rsidR="00653559">
        <w:rPr>
          <w:rFonts w:asciiTheme="majorHAnsi" w:hAnsiTheme="majorHAnsi" w:cstheme="majorHAnsi"/>
          <w:color w:val="1F3864" w:themeColor="accent1" w:themeShade="80"/>
        </w:rPr>
        <w:t xml:space="preserve">, jak powinien zmienić się </w:t>
      </w:r>
      <w:r w:rsidR="00235FEA">
        <w:rPr>
          <w:rFonts w:asciiTheme="majorHAnsi" w:hAnsiTheme="majorHAnsi" w:cstheme="majorHAnsi"/>
          <w:color w:val="1F3864" w:themeColor="accent1" w:themeShade="80"/>
        </w:rPr>
        <w:t>warsztat</w:t>
      </w:r>
      <w:r w:rsidR="00653559">
        <w:rPr>
          <w:rFonts w:asciiTheme="majorHAnsi" w:hAnsiTheme="majorHAnsi" w:cstheme="majorHAnsi"/>
          <w:color w:val="1F3864" w:themeColor="accent1" w:themeShade="80"/>
        </w:rPr>
        <w:t xml:space="preserve"> projektanta</w:t>
      </w:r>
    </w:p>
    <w:p w14:paraId="36517D33" w14:textId="0EAF5319" w:rsidR="00653559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e</w:t>
      </w:r>
      <w:r w:rsidR="00653559" w:rsidRPr="00653559">
        <w:rPr>
          <w:rFonts w:asciiTheme="majorHAnsi" w:hAnsiTheme="majorHAnsi" w:cstheme="majorHAnsi"/>
          <w:color w:val="1F3864" w:themeColor="accent1" w:themeShade="80"/>
        </w:rPr>
        <w:t>nergooszczędne rozwiązania przy projektowaniu i eksploatacji instalacji HVAC</w:t>
      </w:r>
    </w:p>
    <w:p w14:paraId="693FA2A6" w14:textId="491E9048" w:rsidR="00653559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d</w:t>
      </w:r>
      <w:r w:rsidR="00653559">
        <w:rPr>
          <w:rFonts w:asciiTheme="majorHAnsi" w:hAnsiTheme="majorHAnsi" w:cstheme="majorHAnsi"/>
          <w:color w:val="1F3864" w:themeColor="accent1" w:themeShade="80"/>
        </w:rPr>
        <w:t>om bez rachunków</w:t>
      </w:r>
    </w:p>
    <w:p w14:paraId="20AAE472" w14:textId="33BB4C64" w:rsidR="00653559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</w:t>
      </w:r>
      <w:r w:rsidR="00653559">
        <w:rPr>
          <w:rFonts w:asciiTheme="majorHAnsi" w:hAnsiTheme="majorHAnsi" w:cstheme="majorHAnsi"/>
          <w:color w:val="1F3864" w:themeColor="accent1" w:themeShade="80"/>
        </w:rPr>
        <w:t>arsztat rzeczoznawcy XXI wieku</w:t>
      </w:r>
    </w:p>
    <w:p w14:paraId="23ECD490" w14:textId="7756ED50" w:rsidR="000425B5" w:rsidRPr="000425B5" w:rsidRDefault="00B2001E" w:rsidP="000425B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m</w:t>
      </w:r>
      <w:r w:rsidRPr="00B2001E">
        <w:rPr>
          <w:rFonts w:asciiTheme="majorHAnsi" w:hAnsiTheme="majorHAnsi" w:cstheme="majorHAnsi"/>
          <w:color w:val="1F3864" w:themeColor="accent1" w:themeShade="80"/>
        </w:rPr>
        <w:t>odelowanie energetyczne a charakterystyka energetyczna budynku</w:t>
      </w:r>
    </w:p>
    <w:p w14:paraId="2C2D5A56" w14:textId="77777777" w:rsidR="00653559" w:rsidRDefault="00653559" w:rsidP="00653559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Zagadnienia techniczne omówione będą w ramach następujących warsztatów panelowych:</w:t>
      </w:r>
    </w:p>
    <w:p w14:paraId="5648DABF" w14:textId="77777777" w:rsidR="00653559" w:rsidRDefault="00653559" w:rsidP="00C00B8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Projektowanie gazociągów wysokiego ciśnienia w Polsce. Uwarunkowania doboru materiałów polimerowych do budowy sieci gazowych</w:t>
      </w:r>
    </w:p>
    <w:p w14:paraId="5BB42303" w14:textId="77777777" w:rsidR="00653559" w:rsidRDefault="00653559" w:rsidP="00CF6F1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Projektowanie i odbiór pompowni przeciwpożarowych zgodnie z nowymi przepisami i wiedzą techniczną</w:t>
      </w:r>
    </w:p>
    <w:p w14:paraId="74E96079" w14:textId="77777777" w:rsidR="00653559" w:rsidRDefault="00653559" w:rsidP="00F817A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Uwarunkowania prawne – przepisy dopuszczające budowę gazociągów z tworzyw sztucznych o ciśnieniu powyżej 10 barów w krajach Europy</w:t>
      </w:r>
    </w:p>
    <w:p w14:paraId="7DBE70E4" w14:textId="77777777" w:rsidR="00653559" w:rsidRDefault="00653559" w:rsidP="00574F7E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Podczyszczanie wód opadowych poprzez odwodnienia liniowe bez użycia separatora?</w:t>
      </w:r>
    </w:p>
    <w:p w14:paraId="020F87A1" w14:textId="77777777" w:rsidR="00653559" w:rsidRDefault="00653559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Produkcja i odzysk ciepła w przemyśle</w:t>
      </w:r>
    </w:p>
    <w:p w14:paraId="53223B18" w14:textId="174C31C9" w:rsidR="00653559" w:rsidRDefault="00653559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53559">
        <w:rPr>
          <w:rFonts w:asciiTheme="majorHAnsi" w:hAnsiTheme="majorHAnsi" w:cstheme="majorHAnsi"/>
          <w:color w:val="1F3864" w:themeColor="accent1" w:themeShade="80"/>
        </w:rPr>
        <w:t>Właściwy dobór izolacji technicznych na instalacjach ogrzewczych i klimatyzacyjnych</w:t>
      </w:r>
    </w:p>
    <w:p w14:paraId="611EA33D" w14:textId="057D4D9E" w:rsidR="000425B5" w:rsidRDefault="000425B5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0425B5">
        <w:rPr>
          <w:rFonts w:asciiTheme="majorHAnsi" w:hAnsiTheme="majorHAnsi" w:cstheme="majorHAnsi"/>
          <w:color w:val="1F3864" w:themeColor="accent1" w:themeShade="80"/>
        </w:rPr>
        <w:t xml:space="preserve">Właściwy dobór instalacji gwarantuje bezpieczną pracę podczas wieloletniej eksploatacji czyli systemy zamocowań </w:t>
      </w:r>
      <w:proofErr w:type="spellStart"/>
      <w:r w:rsidRPr="000425B5">
        <w:rPr>
          <w:rFonts w:asciiTheme="majorHAnsi" w:hAnsiTheme="majorHAnsi" w:cstheme="majorHAnsi"/>
          <w:color w:val="1F3864" w:themeColor="accent1" w:themeShade="80"/>
        </w:rPr>
        <w:t>Niczuk</w:t>
      </w:r>
      <w:proofErr w:type="spellEnd"/>
      <w:r w:rsidRPr="000425B5">
        <w:rPr>
          <w:rFonts w:asciiTheme="majorHAnsi" w:hAnsiTheme="majorHAnsi" w:cstheme="majorHAnsi"/>
          <w:color w:val="1F3864" w:themeColor="accent1" w:themeShade="80"/>
        </w:rPr>
        <w:t xml:space="preserve"> w technice instalacyjnej</w:t>
      </w:r>
    </w:p>
    <w:p w14:paraId="33175228" w14:textId="550ED51F" w:rsidR="000425B5" w:rsidRPr="00653559" w:rsidRDefault="000425B5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0425B5">
        <w:rPr>
          <w:rFonts w:asciiTheme="majorHAnsi" w:hAnsiTheme="majorHAnsi" w:cstheme="majorHAnsi"/>
          <w:color w:val="1F3864" w:themeColor="accent1" w:themeShade="80"/>
        </w:rPr>
        <w:t>Wybór właściwego systemu kanalizacji niskoszumowej na podstawie studium przypadku kompleksu biurowo-hotelowego POSEJDON CENTER</w:t>
      </w:r>
    </w:p>
    <w:p w14:paraId="7D0D2DB4" w14:textId="7E17A0C0" w:rsidR="00B573BA" w:rsidRDefault="00B573BA" w:rsidP="00B573BA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Swój udział w wydarzeniu potwierdzili </w:t>
      </w:r>
      <w:proofErr w:type="spellStart"/>
      <w:r w:rsidRPr="00D85367"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tze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</w:rPr>
        <w:t>Boerstra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oraz Jarek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</w:rPr>
        <w:t>Kurnitski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- Wiceprezesi REHVA, którzy poprowadzą warsztat panelowy dotyczący implementacji EPBD, smart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</w:rPr>
        <w:t>buildings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, wskaźnika SRI oraz jego wpływu na jakość środowiska wewnętrznego w budynkach. </w:t>
      </w:r>
    </w:p>
    <w:p w14:paraId="729556EB" w14:textId="403A9CCC" w:rsidR="0001618F" w:rsidRDefault="0074492F" w:rsidP="000C2BA4">
      <w:pPr>
        <w:jc w:val="both"/>
        <w:rPr>
          <w:rFonts w:asciiTheme="majorHAnsi" w:hAnsiTheme="majorHAnsi" w:cstheme="majorHAnsi"/>
          <w:b/>
          <w:color w:val="1F3864" w:themeColor="accent1" w:themeShade="80"/>
        </w:rPr>
      </w:pPr>
      <w:bookmarkStart w:id="0" w:name="_GoBack"/>
      <w:bookmarkEnd w:id="0"/>
      <w:r>
        <w:rPr>
          <w:rFonts w:asciiTheme="majorHAnsi" w:hAnsiTheme="majorHAnsi" w:cstheme="majorHAnsi"/>
          <w:color w:val="1F3864" w:themeColor="accent1" w:themeShade="80"/>
        </w:rPr>
        <w:t xml:space="preserve">Patronat honorowy nas </w:t>
      </w:r>
      <w:r w:rsidR="008E5A2C">
        <w:rPr>
          <w:rFonts w:asciiTheme="majorHAnsi" w:hAnsiTheme="majorHAnsi" w:cstheme="majorHAnsi"/>
          <w:color w:val="1F3864" w:themeColor="accent1" w:themeShade="80"/>
        </w:rPr>
        <w:t>Warsztatami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8E5A2C">
        <w:rPr>
          <w:rFonts w:asciiTheme="majorHAnsi" w:hAnsiTheme="majorHAnsi" w:cstheme="majorHAnsi"/>
          <w:color w:val="1F3864" w:themeColor="accent1" w:themeShade="80"/>
        </w:rPr>
        <w:t>objęty</w:t>
      </w:r>
      <w:r>
        <w:rPr>
          <w:rFonts w:asciiTheme="majorHAnsi" w:hAnsiTheme="majorHAnsi" w:cstheme="majorHAnsi"/>
          <w:color w:val="1F3864" w:themeColor="accent1" w:themeShade="80"/>
        </w:rPr>
        <w:t xml:space="preserve">: </w:t>
      </w:r>
      <w:r w:rsidR="008E5A2C" w:rsidRPr="003F2422">
        <w:rPr>
          <w:rFonts w:asciiTheme="majorHAnsi" w:hAnsiTheme="majorHAnsi" w:cstheme="majorHAnsi"/>
          <w:b/>
          <w:color w:val="1F3864" w:themeColor="accent1" w:themeShade="80"/>
        </w:rPr>
        <w:t xml:space="preserve">Izba Gospodarcza Gazownictwa., </w:t>
      </w:r>
      <w:r w:rsidRPr="003F2422">
        <w:rPr>
          <w:rFonts w:asciiTheme="majorHAnsi" w:hAnsiTheme="majorHAnsi" w:cstheme="majorHAnsi"/>
          <w:b/>
          <w:color w:val="1F3864" w:themeColor="accent1" w:themeShade="80"/>
        </w:rPr>
        <w:t>Polska Izba Inzynierów Budownictwa, Izba Gospodarcza Wodociągi Polskie</w:t>
      </w:r>
      <w:r w:rsidR="008E5A2C" w:rsidRPr="003F2422">
        <w:rPr>
          <w:rFonts w:asciiTheme="majorHAnsi" w:hAnsiTheme="majorHAnsi" w:cstheme="majorHAnsi"/>
          <w:b/>
          <w:color w:val="1F3864" w:themeColor="accent1" w:themeShade="80"/>
        </w:rPr>
        <w:t>.</w:t>
      </w:r>
    </w:p>
    <w:p w14:paraId="33217536" w14:textId="6C401A89" w:rsidR="00FC7F75" w:rsidRPr="008E5A2C" w:rsidRDefault="00FC7F75" w:rsidP="00FC7F75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8E5A2C">
        <w:rPr>
          <w:rFonts w:asciiTheme="majorHAnsi" w:hAnsiTheme="majorHAnsi" w:cstheme="majorHAnsi"/>
          <w:color w:val="1F3864" w:themeColor="accent1" w:themeShade="80"/>
        </w:rPr>
        <w:t>Szczegółow</w:t>
      </w:r>
      <w:r w:rsidR="00D85367">
        <w:rPr>
          <w:rFonts w:asciiTheme="majorHAnsi" w:hAnsiTheme="majorHAnsi" w:cstheme="majorHAnsi"/>
          <w:color w:val="1F3864" w:themeColor="accent1" w:themeShade="80"/>
        </w:rPr>
        <w:t xml:space="preserve">y program dostępny jest </w:t>
      </w:r>
      <w:r w:rsidRPr="008E5A2C">
        <w:rPr>
          <w:rFonts w:asciiTheme="majorHAnsi" w:hAnsiTheme="majorHAnsi" w:cstheme="majorHAnsi"/>
          <w:color w:val="1F3864" w:themeColor="accent1" w:themeShade="80"/>
        </w:rPr>
        <w:t xml:space="preserve">na stronie </w:t>
      </w:r>
      <w:r w:rsidRPr="00604603">
        <w:rPr>
          <w:rFonts w:asciiTheme="majorHAnsi" w:hAnsiTheme="majorHAnsi" w:cstheme="majorHAnsi"/>
          <w:b/>
          <w:bCs/>
          <w:color w:val="1F3864" w:themeColor="accent1" w:themeShade="80"/>
        </w:rPr>
        <w:t>www.warsztaty.pzits.pl</w:t>
      </w:r>
    </w:p>
    <w:p w14:paraId="130388D4" w14:textId="77777777" w:rsidR="00AE6334" w:rsidRDefault="00AE6334" w:rsidP="00AE6334">
      <w:pPr>
        <w:jc w:val="center"/>
        <w:rPr>
          <w:rFonts w:asciiTheme="majorHAnsi" w:hAnsiTheme="majorHAnsi" w:cstheme="majorHAnsi"/>
          <w:color w:val="1F3864" w:themeColor="accent1" w:themeShade="80"/>
        </w:rPr>
      </w:pPr>
    </w:p>
    <w:p w14:paraId="07EB6A93" w14:textId="7BC36B97" w:rsidR="00AF486C" w:rsidRDefault="00AF486C" w:rsidP="00AE6334">
      <w:pPr>
        <w:jc w:val="center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***</w:t>
      </w:r>
    </w:p>
    <w:p w14:paraId="488AEA51" w14:textId="250D3D0A" w:rsidR="00B31047" w:rsidRPr="00604603" w:rsidRDefault="001A01C7" w:rsidP="000C2BA4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604603">
        <w:rPr>
          <w:rFonts w:asciiTheme="majorHAnsi" w:hAnsiTheme="majorHAnsi" w:cstheme="majorHAnsi"/>
          <w:b/>
          <w:bCs/>
          <w:color w:val="1F3864" w:themeColor="accent1" w:themeShade="80"/>
        </w:rPr>
        <w:t>Parterami Warsztatów są następującego firmy:</w:t>
      </w:r>
    </w:p>
    <w:p w14:paraId="13B1BAE3" w14:textId="67C04B82" w:rsidR="001A01C7" w:rsidRPr="00987992" w:rsidRDefault="001A01C7" w:rsidP="001A01C7">
      <w:pPr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987992">
        <w:rPr>
          <w:rFonts w:asciiTheme="majorHAnsi" w:hAnsiTheme="majorHAnsi" w:cstheme="majorHAnsi"/>
          <w:b/>
          <w:color w:val="1F3864" w:themeColor="accent1" w:themeShade="80"/>
        </w:rPr>
        <w:lastRenderedPageBreak/>
        <w:t xml:space="preserve">Partnerzy Strategiczni: </w:t>
      </w:r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LG Electronics, </w:t>
      </w:r>
      <w:proofErr w:type="spellStart"/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>Geberit</w:t>
      </w:r>
      <w:proofErr w:type="spellEnd"/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Sp. z o.o., </w:t>
      </w:r>
      <w:proofErr w:type="spellStart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Wilo</w:t>
      </w:r>
      <w:proofErr w:type="spellEnd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Polska Sp. z o.o., HAURATON Polska sp. z o.o., </w:t>
      </w:r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Armacell</w:t>
      </w:r>
      <w:proofErr w:type="spellEnd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Poland Sp.</w:t>
      </w:r>
      <w:r w:rsidR="0098799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z o.o.</w:t>
      </w:r>
    </w:p>
    <w:p w14:paraId="144C0A5B" w14:textId="25AA28D0" w:rsidR="00CC2E8E" w:rsidRPr="0023154C" w:rsidRDefault="001A01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987992">
        <w:rPr>
          <w:rFonts w:asciiTheme="majorHAnsi" w:hAnsiTheme="majorHAnsi" w:cstheme="majorHAnsi"/>
          <w:b/>
          <w:color w:val="1F3864" w:themeColor="accent1" w:themeShade="80"/>
        </w:rPr>
        <w:t>Partnery</w:t>
      </w:r>
      <w:proofErr w:type="spellEnd"/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Złoty: </w:t>
      </w:r>
      <w:proofErr w:type="spellStart"/>
      <w:r w:rsidR="00FC7F75" w:rsidRPr="00FC7F75">
        <w:rPr>
          <w:rFonts w:asciiTheme="majorHAnsi" w:hAnsiTheme="majorHAnsi" w:cstheme="majorHAnsi"/>
          <w:b/>
          <w:color w:val="1F3864" w:themeColor="accent1" w:themeShade="80"/>
        </w:rPr>
        <w:t>Lindab</w:t>
      </w:r>
      <w:proofErr w:type="spellEnd"/>
      <w:r w:rsidR="00FC7F75" w:rsidRPr="00FC7F75">
        <w:rPr>
          <w:rFonts w:asciiTheme="majorHAnsi" w:hAnsiTheme="majorHAnsi" w:cstheme="majorHAnsi"/>
          <w:b/>
          <w:color w:val="1F3864" w:themeColor="accent1" w:themeShade="80"/>
        </w:rPr>
        <w:t xml:space="preserve"> Sp. z o.o.</w:t>
      </w:r>
      <w:r w:rsidR="00002B9F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proofErr w:type="spellStart"/>
      <w:r w:rsidR="00CF36CE">
        <w:rPr>
          <w:rFonts w:asciiTheme="majorHAnsi" w:hAnsiTheme="majorHAnsi" w:cstheme="majorHAnsi"/>
          <w:b/>
          <w:color w:val="1F3864" w:themeColor="accent1" w:themeShade="80"/>
        </w:rPr>
        <w:t>Niczuk</w:t>
      </w:r>
      <w:proofErr w:type="spellEnd"/>
      <w:r w:rsidR="00CF36CE">
        <w:rPr>
          <w:rFonts w:asciiTheme="majorHAnsi" w:hAnsiTheme="majorHAnsi" w:cstheme="majorHAnsi"/>
          <w:b/>
          <w:color w:val="1F3864" w:themeColor="accent1" w:themeShade="80"/>
        </w:rPr>
        <w:t xml:space="preserve"> Sp. j.</w:t>
      </w:r>
      <w:r w:rsidR="00BF12BA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proofErr w:type="spellStart"/>
      <w:r w:rsidR="002524CF" w:rsidRPr="002524CF">
        <w:rPr>
          <w:rFonts w:asciiTheme="majorHAnsi" w:hAnsiTheme="majorHAnsi" w:cstheme="majorHAnsi"/>
          <w:b/>
          <w:color w:val="1F3864" w:themeColor="accent1" w:themeShade="80"/>
        </w:rPr>
        <w:t>Vertiv</w:t>
      </w:r>
      <w:proofErr w:type="spellEnd"/>
      <w:r w:rsidR="002524CF" w:rsidRPr="002524CF">
        <w:rPr>
          <w:rFonts w:asciiTheme="majorHAnsi" w:hAnsiTheme="majorHAnsi" w:cstheme="majorHAnsi"/>
          <w:b/>
          <w:color w:val="1F3864" w:themeColor="accent1" w:themeShade="80"/>
        </w:rPr>
        <w:t xml:space="preserve"> Poland Sp. z o.o.</w:t>
      </w:r>
      <w:r w:rsidR="002524CF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r w:rsidR="002524CF" w:rsidRPr="002524CF">
        <w:rPr>
          <w:rFonts w:asciiTheme="majorHAnsi" w:hAnsiTheme="majorHAnsi" w:cstheme="majorHAnsi"/>
          <w:b/>
          <w:color w:val="1F3864" w:themeColor="accent1" w:themeShade="80"/>
        </w:rPr>
        <w:t>FläktGroup Poland Sp. z o.o.</w:t>
      </w:r>
    </w:p>
    <w:sectPr w:rsidR="00CC2E8E" w:rsidRPr="0023154C" w:rsidSect="00B2001E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165F"/>
    <w:multiLevelType w:val="hybridMultilevel"/>
    <w:tmpl w:val="F1D6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0C90"/>
    <w:multiLevelType w:val="hybridMultilevel"/>
    <w:tmpl w:val="693E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75"/>
    <w:rsid w:val="00002B9F"/>
    <w:rsid w:val="0001618F"/>
    <w:rsid w:val="00020732"/>
    <w:rsid w:val="000425B5"/>
    <w:rsid w:val="00074896"/>
    <w:rsid w:val="000B1150"/>
    <w:rsid w:val="000B59D6"/>
    <w:rsid w:val="000C2BA4"/>
    <w:rsid w:val="000C5575"/>
    <w:rsid w:val="000C7622"/>
    <w:rsid w:val="000D148D"/>
    <w:rsid w:val="00176F91"/>
    <w:rsid w:val="00187603"/>
    <w:rsid w:val="00192A9F"/>
    <w:rsid w:val="001A01C7"/>
    <w:rsid w:val="001E0BEF"/>
    <w:rsid w:val="001E73FD"/>
    <w:rsid w:val="0023154C"/>
    <w:rsid w:val="00233400"/>
    <w:rsid w:val="00235FEA"/>
    <w:rsid w:val="002524CF"/>
    <w:rsid w:val="002A1954"/>
    <w:rsid w:val="002F46C2"/>
    <w:rsid w:val="00337E8F"/>
    <w:rsid w:val="00374E74"/>
    <w:rsid w:val="003F2422"/>
    <w:rsid w:val="00416700"/>
    <w:rsid w:val="00450B87"/>
    <w:rsid w:val="00461762"/>
    <w:rsid w:val="00467EC7"/>
    <w:rsid w:val="004833F0"/>
    <w:rsid w:val="0049011F"/>
    <w:rsid w:val="004B50C1"/>
    <w:rsid w:val="00502498"/>
    <w:rsid w:val="00545861"/>
    <w:rsid w:val="005950B5"/>
    <w:rsid w:val="005B6F54"/>
    <w:rsid w:val="00604603"/>
    <w:rsid w:val="00653559"/>
    <w:rsid w:val="0065486C"/>
    <w:rsid w:val="006766EB"/>
    <w:rsid w:val="006C0B28"/>
    <w:rsid w:val="0074492F"/>
    <w:rsid w:val="007A2871"/>
    <w:rsid w:val="007D331A"/>
    <w:rsid w:val="00850D80"/>
    <w:rsid w:val="008B15DA"/>
    <w:rsid w:val="008C1355"/>
    <w:rsid w:val="008E5A2C"/>
    <w:rsid w:val="00987992"/>
    <w:rsid w:val="009A4AC9"/>
    <w:rsid w:val="009E2F02"/>
    <w:rsid w:val="009F004F"/>
    <w:rsid w:val="00A91173"/>
    <w:rsid w:val="00AD50EF"/>
    <w:rsid w:val="00AE6334"/>
    <w:rsid w:val="00AF486C"/>
    <w:rsid w:val="00B2001E"/>
    <w:rsid w:val="00B31047"/>
    <w:rsid w:val="00B573BA"/>
    <w:rsid w:val="00B70CC9"/>
    <w:rsid w:val="00B76ED4"/>
    <w:rsid w:val="00BF12BA"/>
    <w:rsid w:val="00C66ED1"/>
    <w:rsid w:val="00CC2E8E"/>
    <w:rsid w:val="00CF36CE"/>
    <w:rsid w:val="00D31AD4"/>
    <w:rsid w:val="00D37FAA"/>
    <w:rsid w:val="00D41576"/>
    <w:rsid w:val="00D51B8B"/>
    <w:rsid w:val="00D85367"/>
    <w:rsid w:val="00D86235"/>
    <w:rsid w:val="00D94A33"/>
    <w:rsid w:val="00E32576"/>
    <w:rsid w:val="00E34E61"/>
    <w:rsid w:val="00E9038D"/>
    <w:rsid w:val="00EB4162"/>
    <w:rsid w:val="00F300DC"/>
    <w:rsid w:val="00F44381"/>
    <w:rsid w:val="00F6354B"/>
    <w:rsid w:val="00F85404"/>
    <w:rsid w:val="00FC7F75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93D4"/>
  <w15:docId w15:val="{50D1997B-9498-4199-8BA9-2A2F862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62"/>
  </w:style>
  <w:style w:type="paragraph" w:styleId="Nagwek1">
    <w:name w:val="heading 1"/>
    <w:basedOn w:val="Normalny"/>
    <w:link w:val="Nagwek1Znak"/>
    <w:uiPriority w:val="9"/>
    <w:qFormat/>
    <w:rsid w:val="0023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31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3154C"/>
    <w:rPr>
      <w:b/>
      <w:bCs/>
    </w:rPr>
  </w:style>
  <w:style w:type="paragraph" w:styleId="Akapitzlist">
    <w:name w:val="List Paragraph"/>
    <w:basedOn w:val="Normalny"/>
    <w:uiPriority w:val="34"/>
    <w:qFormat/>
    <w:rsid w:val="006535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</dc:creator>
  <cp:keywords/>
  <dc:description/>
  <cp:lastModifiedBy>Anna Bogdan</cp:lastModifiedBy>
  <cp:revision>2</cp:revision>
  <cp:lastPrinted>2018-09-06T11:15:00Z</cp:lastPrinted>
  <dcterms:created xsi:type="dcterms:W3CDTF">2019-06-06T14:24:00Z</dcterms:created>
  <dcterms:modified xsi:type="dcterms:W3CDTF">2019-06-06T14:24:00Z</dcterms:modified>
</cp:coreProperties>
</file>